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5E6A" w14:textId="77777777" w:rsidR="00FE4A79" w:rsidRPr="009624E5" w:rsidRDefault="00FE4A79" w:rsidP="00FE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E5EA9" wp14:editId="622E5EAA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5EAD" w14:textId="77777777" w:rsidR="00FE4A79" w:rsidRPr="00C5489F" w:rsidRDefault="00FE4A79" w:rsidP="00FE4A7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E5E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4pt;margin-top:2.65pt;width:94.15pt;height:19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622E5EAD" w14:textId="77777777" w:rsidR="00FE4A79" w:rsidRPr="00C5489F" w:rsidRDefault="00FE4A79" w:rsidP="00FE4A7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22E5EAB" wp14:editId="622E5EAC">
            <wp:extent cx="535733" cy="247650"/>
            <wp:effectExtent l="0" t="0" r="0" b="0"/>
            <wp:docPr id="8" name="Picture 8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E5E6B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24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&lt;GLH region name&gt; </w:t>
      </w:r>
    </w:p>
    <w:p w14:paraId="622E5E6C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FE4A79" w:rsidRPr="009624E5" w14:paraId="622E5E76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5E6D" w14:textId="77777777" w:rsidR="00FE4A79" w:rsidRPr="009624E5" w:rsidRDefault="00FE4A79" w:rsidP="009D299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622E5E6E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5E6F" w14:textId="77777777" w:rsidR="00FE4A79" w:rsidRPr="009624E5" w:rsidRDefault="00FE4A79" w:rsidP="009D2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5E70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622E5E71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622E5E72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622E5E73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622E5E74" w14:textId="77777777" w:rsidR="00FE4A79" w:rsidRPr="009624E5" w:rsidRDefault="00FE4A79" w:rsidP="009D299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622E5E75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FE4A79" w:rsidRPr="009624E5" w14:paraId="622E5E7B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E5E77" w14:textId="77777777" w:rsidR="00FE4A79" w:rsidRPr="009624E5" w:rsidRDefault="00FE4A79" w:rsidP="009D299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622E5E78" w14:textId="77777777" w:rsidR="00FE4A79" w:rsidRPr="009624E5" w:rsidRDefault="00FE4A79" w:rsidP="009D299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E5E7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E5E7A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E4A79" w:rsidRPr="009624E5" w14:paraId="622E5E7D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622E5E7C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622E5E7E" w14:textId="77777777" w:rsidR="00FE4A79" w:rsidRPr="009624E5" w:rsidRDefault="00FE4A79" w:rsidP="00FE4A79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FE4A79" w:rsidRPr="009624E5" w14:paraId="622E5E82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22E5E7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622E5E8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22E5E8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FE4A79" w:rsidRPr="009624E5" w14:paraId="622E5E86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622E5E8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22E5E8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22E5E8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FE4A79" w:rsidRPr="009624E5" w14:paraId="622E5E8A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22E5E87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622E5E88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22E5E8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FE4A79" w:rsidRPr="009624E5" w14:paraId="622E5E8E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2E5E8B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622E5E8C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22E5E8D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FE4A79" w:rsidRPr="009624E5" w14:paraId="622E5E92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2E5E8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622E5E9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622E5E9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FE4A79" w:rsidRPr="009624E5" w14:paraId="622E5E96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2E5E9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622E5E9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22E5E9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622E5E97" w14:textId="77777777" w:rsidR="00FE4A79" w:rsidRPr="00551A08" w:rsidRDefault="00FE4A79" w:rsidP="007A013F">
      <w:pPr>
        <w:tabs>
          <w:tab w:val="left" w:pos="3120"/>
          <w:tab w:val="left" w:pos="6360"/>
        </w:tabs>
        <w:rPr>
          <w:rFonts w:ascii="Calibri" w:hAnsi="Calibri"/>
          <w:b/>
          <w:color w:val="444444"/>
          <w:sz w:val="28"/>
          <w:szCs w:val="28"/>
          <w:shd w:val="clear" w:color="auto" w:fill="FFFFFF"/>
        </w:rPr>
      </w:pPr>
    </w:p>
    <w:p w14:paraId="622E5E98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Reason for testing</w:t>
      </w:r>
      <w:r w:rsidRPr="000B0630">
        <w:rPr>
          <w:rFonts w:ascii="Calibri" w:eastAsia="Times New Roman" w:hAnsi="Calibri" w:cs="Times New Roman"/>
          <w:b/>
          <w:color w:val="201F1E"/>
          <w:sz w:val="24"/>
          <w:szCs w:val="24"/>
          <w:lang w:eastAsia="en-GB"/>
        </w:rPr>
        <w:t>:</w:t>
      </w:r>
      <w:r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 xml:space="preserve"> </w:t>
      </w:r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Diagnostic testing: 'test name' (</w:t>
      </w:r>
      <w:proofErr w:type="spellStart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Rxx.x</w:t>
      </w:r>
      <w:proofErr w:type="spellEnd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)</w:t>
      </w:r>
      <w:r w:rsidRPr="000B063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622E5E99" w14:textId="77777777" w:rsidR="00551A08" w:rsidRDefault="002F0CC2" w:rsidP="00FE4A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Result summary</w:t>
      </w:r>
      <w:r w:rsidRPr="000B0630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 w:rsidR="00F4077C">
        <w:rPr>
          <w:rFonts w:ascii="Calibri" w:hAnsi="Calibri"/>
          <w:color w:val="444444"/>
          <w:shd w:val="clear" w:color="auto" w:fill="FFFFFF"/>
        </w:rPr>
        <w:t>A hereditary (germline) genetic cause for the patient’s cancer has not been identified</w:t>
      </w:r>
    </w:p>
    <w:p w14:paraId="622E5E9A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Result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F4077C" w:rsidRPr="00F4077C">
        <w:rPr>
          <w:rFonts w:ascii="Calibri" w:hAnsi="Calibri"/>
          <w:color w:val="444444"/>
          <w:shd w:val="clear" w:color="auto" w:fill="FFFFFF"/>
        </w:rPr>
        <w:t xml:space="preserve"> </w:t>
      </w:r>
      <w:r w:rsidR="00F4077C">
        <w:rPr>
          <w:rFonts w:ascii="Calibri" w:hAnsi="Calibri"/>
          <w:color w:val="444444"/>
          <w:shd w:val="clear" w:color="auto" w:fill="FFFFFF"/>
        </w:rPr>
        <w:t>No pathogenic variants were detected in the genes in this panel.</w:t>
      </w:r>
    </w:p>
    <w:p w14:paraId="622E5E9B" w14:textId="6BD997C3" w:rsidR="00F4077C" w:rsidRPr="00F4077C" w:rsidRDefault="002F0CC2" w:rsidP="00F4077C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Implications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F4077C" w:rsidRPr="00F4077C">
        <w:rPr>
          <w:rFonts w:ascii="Calibri" w:hAnsi="Calibri"/>
          <w:color w:val="444444"/>
        </w:rPr>
        <w:t xml:space="preserve"> </w:t>
      </w:r>
      <w:r w:rsidR="00F4077C" w:rsidRPr="00F4077C">
        <w:rPr>
          <w:rFonts w:ascii="Calibri" w:eastAsia="Times New Roman" w:hAnsi="Calibri" w:cs="Times New Roman"/>
          <w:color w:val="444444"/>
          <w:lang w:eastAsia="en-GB"/>
        </w:rPr>
        <w:t>This result does not exclude a diagnosis of</w:t>
      </w:r>
      <w:r w:rsidR="00865EF0">
        <w:rPr>
          <w:rFonts w:ascii="Calibri" w:eastAsia="Times New Roman" w:hAnsi="Calibri" w:cs="Times New Roman"/>
          <w:color w:val="444444"/>
          <w:lang w:eastAsia="en-GB"/>
        </w:rPr>
        <w:t xml:space="preserve"> an inherited cancer predisposition syndrome</w:t>
      </w:r>
      <w:r w:rsidR="00F4077C" w:rsidRPr="00F4077C">
        <w:rPr>
          <w:rFonts w:ascii="Calibri" w:eastAsia="Times New Roman" w:hAnsi="Calibri" w:cs="Times New Roman"/>
          <w:color w:val="444444"/>
          <w:lang w:eastAsia="en-GB"/>
        </w:rPr>
        <w:t xml:space="preserve">. </w:t>
      </w:r>
    </w:p>
    <w:p w14:paraId="622E5E9C" w14:textId="77777777" w:rsidR="00F4077C" w:rsidRPr="00F4077C" w:rsidRDefault="00F4077C" w:rsidP="00F407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F4077C">
        <w:rPr>
          <w:rFonts w:ascii="Calibri" w:eastAsia="Times New Roman" w:hAnsi="Calibri" w:cs="Times New Roman"/>
          <w:color w:val="444444"/>
          <w:lang w:eastAsia="en-GB"/>
        </w:rPr>
        <w:t>As this individual does not have a detectable pathogenic variant in BRCA1 or BRCA2, PARP inhibitor therapy is not currently indicated by this result in isolation</w:t>
      </w:r>
      <w:r w:rsidR="002902BC" w:rsidRPr="002902BC">
        <w:rPr>
          <w:rFonts w:ascii="Calibri" w:eastAsia="Times New Roman" w:hAnsi="Calibri" w:cs="Times New Roman"/>
          <w:color w:val="444444"/>
          <w:vertAlign w:val="superscript"/>
          <w:lang w:eastAsia="en-GB"/>
        </w:rPr>
        <w:t>2</w:t>
      </w:r>
      <w:r w:rsidRPr="00F4077C">
        <w:rPr>
          <w:rFonts w:ascii="Calibri" w:eastAsia="Times New Roman" w:hAnsi="Calibri" w:cs="Times New Roman"/>
          <w:color w:val="444444"/>
          <w:lang w:eastAsia="en-GB"/>
        </w:rPr>
        <w:t>.</w:t>
      </w:r>
    </w:p>
    <w:p w14:paraId="622E5E9D" w14:textId="77777777" w:rsidR="002F0CC2" w:rsidRP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22E5E9E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Recommended actions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</w:p>
    <w:p w14:paraId="622E5E9F" w14:textId="77777777" w:rsidR="00ED34B5" w:rsidRPr="00ED34B5" w:rsidRDefault="00ED34B5" w:rsidP="00ED34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ED34B5">
        <w:rPr>
          <w:rFonts w:ascii="Calibri" w:eastAsia="Times New Roman" w:hAnsi="Calibri" w:cs="Times New Roman"/>
          <w:color w:val="444444"/>
          <w:lang w:eastAsia="en-GB"/>
        </w:rPr>
        <w:t>We recommend testing of the tumour if this individual is still being considered for treatment with PARP inhibitors as ~13% of metastatic prostate cancers have a somatic BRCA1 or BRCA2 pathogenic variant (</w:t>
      </w:r>
      <w:proofErr w:type="spellStart"/>
      <w:r w:rsidRPr="00ED34B5">
        <w:rPr>
          <w:rFonts w:ascii="Calibri" w:eastAsia="Times New Roman" w:hAnsi="Calibri" w:cs="Times New Roman"/>
          <w:color w:val="444444"/>
          <w:lang w:eastAsia="en-GB"/>
        </w:rPr>
        <w:t>Sciarra</w:t>
      </w:r>
      <w:proofErr w:type="spellEnd"/>
      <w:r w:rsidRPr="00ED34B5">
        <w:rPr>
          <w:rFonts w:ascii="Calibri" w:eastAsia="Times New Roman" w:hAnsi="Calibri" w:cs="Times New Roman"/>
          <w:color w:val="444444"/>
          <w:lang w:eastAsia="en-GB"/>
        </w:rPr>
        <w:t xml:space="preserve"> et al 2022 PMID: 36614122).</w:t>
      </w:r>
    </w:p>
    <w:p w14:paraId="622E5EA0" w14:textId="77777777" w:rsidR="00A37B1A" w:rsidRDefault="00A37B1A" w:rsidP="00ED34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</w:p>
    <w:p w14:paraId="622E5EA1" w14:textId="77777777" w:rsidR="00ED34B5" w:rsidRPr="00ED34B5" w:rsidRDefault="00ED34B5" w:rsidP="00ED34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ED34B5">
        <w:rPr>
          <w:rFonts w:ascii="Calibri" w:eastAsia="Times New Roman" w:hAnsi="Calibri" w:cs="Times New Roman"/>
          <w:color w:val="444444"/>
          <w:lang w:eastAsia="en-GB"/>
        </w:rPr>
        <w:t xml:space="preserve">If there is a strong family history of prostate and/or other cancers, further </w:t>
      </w:r>
      <w:r w:rsidR="00551A08">
        <w:rPr>
          <w:rFonts w:ascii="Calibri" w:eastAsia="Times New Roman" w:hAnsi="Calibri" w:cs="Times New Roman"/>
          <w:color w:val="444444"/>
          <w:lang w:eastAsia="en-GB"/>
        </w:rPr>
        <w:t xml:space="preserve">genomic testing and </w:t>
      </w:r>
      <w:r w:rsidRPr="00ED34B5">
        <w:rPr>
          <w:rFonts w:ascii="Calibri" w:eastAsia="Times New Roman" w:hAnsi="Calibri" w:cs="Times New Roman"/>
          <w:color w:val="444444"/>
          <w:lang w:eastAsia="en-GB"/>
        </w:rPr>
        <w:t>assessment by Clinical Genetics may be appropriate.</w:t>
      </w:r>
    </w:p>
    <w:p w14:paraId="622E5EA2" w14:textId="77777777" w:rsidR="002902BC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</w:p>
    <w:p w14:paraId="622E5EA3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Genes screened in R430 panel: ATM, BRCA1, BRCA2, CHEK2, MLH1, MSH2, MSH6, PALB2 (all coding exons and exon-intron boundaries). For ATM &amp; CHEK2, only clearly truncating variants (nonsense, frameshift, ±1/2 splice &amp; CNVs) in these genes, plus the ATM c.7271T&gt;G p.(Val2424Gly) pathogenic missense variant, are reported.</w:t>
      </w:r>
    </w:p>
    <w:p w14:paraId="622E5EA4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2.The PARP inhibitor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olaparib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www.nice.org.uk/guidance/gid-ta887].</w:t>
      </w:r>
    </w:p>
    <w:p w14:paraId="622E5EA5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3.Enrichment method: Agilent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SureSelect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622E5EA6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622E5EA7" w14:textId="77777777" w:rsidR="000B0630" w:rsidRPr="00FE4A79" w:rsidRDefault="002902BC" w:rsidP="00FE4A79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622E5EA8" w14:textId="77777777" w:rsidR="000B0630" w:rsidRPr="00EA5673" w:rsidRDefault="000B0630" w:rsidP="00B204AE">
      <w:pPr>
        <w:rPr>
          <w:rFonts w:cstheme="minorHAnsi"/>
          <w:b/>
          <w:sz w:val="20"/>
          <w:szCs w:val="20"/>
        </w:rPr>
      </w:pPr>
    </w:p>
    <w:sectPr w:rsidR="000B0630" w:rsidRPr="00EA5673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373033">
    <w:abstractNumId w:val="3"/>
  </w:num>
  <w:num w:numId="2" w16cid:durableId="599804000">
    <w:abstractNumId w:val="2"/>
  </w:num>
  <w:num w:numId="3" w16cid:durableId="326329988">
    <w:abstractNumId w:val="6"/>
  </w:num>
  <w:num w:numId="4" w16cid:durableId="1141194041">
    <w:abstractNumId w:val="4"/>
  </w:num>
  <w:num w:numId="5" w16cid:durableId="65228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2527">
    <w:abstractNumId w:val="0"/>
  </w:num>
  <w:num w:numId="7" w16cid:durableId="290403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908D0"/>
    <w:rsid w:val="00096ADE"/>
    <w:rsid w:val="000B0630"/>
    <w:rsid w:val="000E340C"/>
    <w:rsid w:val="00183F5A"/>
    <w:rsid w:val="002204BF"/>
    <w:rsid w:val="002277A0"/>
    <w:rsid w:val="00240A4C"/>
    <w:rsid w:val="00255E36"/>
    <w:rsid w:val="002902BC"/>
    <w:rsid w:val="002A5EE9"/>
    <w:rsid w:val="002B2908"/>
    <w:rsid w:val="002D3C8B"/>
    <w:rsid w:val="002D7175"/>
    <w:rsid w:val="002E6B47"/>
    <w:rsid w:val="002F0CC2"/>
    <w:rsid w:val="002F1B72"/>
    <w:rsid w:val="00353B81"/>
    <w:rsid w:val="003760C5"/>
    <w:rsid w:val="00384A03"/>
    <w:rsid w:val="003D5993"/>
    <w:rsid w:val="00421072"/>
    <w:rsid w:val="00445274"/>
    <w:rsid w:val="00446BDF"/>
    <w:rsid w:val="00462B6C"/>
    <w:rsid w:val="004A4F58"/>
    <w:rsid w:val="004C7DB0"/>
    <w:rsid w:val="004D65AE"/>
    <w:rsid w:val="00500DCF"/>
    <w:rsid w:val="00524568"/>
    <w:rsid w:val="00551A08"/>
    <w:rsid w:val="0055411D"/>
    <w:rsid w:val="00554454"/>
    <w:rsid w:val="005757C0"/>
    <w:rsid w:val="005854BC"/>
    <w:rsid w:val="00585692"/>
    <w:rsid w:val="00591886"/>
    <w:rsid w:val="0059333E"/>
    <w:rsid w:val="00611947"/>
    <w:rsid w:val="006459CA"/>
    <w:rsid w:val="006643B9"/>
    <w:rsid w:val="00665A72"/>
    <w:rsid w:val="006670CB"/>
    <w:rsid w:val="006B02DD"/>
    <w:rsid w:val="006B68BD"/>
    <w:rsid w:val="006C3AE0"/>
    <w:rsid w:val="007449E8"/>
    <w:rsid w:val="0077125B"/>
    <w:rsid w:val="007731BB"/>
    <w:rsid w:val="007A013F"/>
    <w:rsid w:val="007D44B3"/>
    <w:rsid w:val="00865EF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B0176A"/>
    <w:rsid w:val="00B01AD2"/>
    <w:rsid w:val="00B204AE"/>
    <w:rsid w:val="00B92D26"/>
    <w:rsid w:val="00B95845"/>
    <w:rsid w:val="00C00BEE"/>
    <w:rsid w:val="00C05998"/>
    <w:rsid w:val="00C6525D"/>
    <w:rsid w:val="00CB1A5B"/>
    <w:rsid w:val="00CC397D"/>
    <w:rsid w:val="00CD3EDF"/>
    <w:rsid w:val="00CF407D"/>
    <w:rsid w:val="00D22EC7"/>
    <w:rsid w:val="00D7235C"/>
    <w:rsid w:val="00D807C3"/>
    <w:rsid w:val="00D87BEF"/>
    <w:rsid w:val="00DA4CC8"/>
    <w:rsid w:val="00DB64EF"/>
    <w:rsid w:val="00DC61F2"/>
    <w:rsid w:val="00E06382"/>
    <w:rsid w:val="00E15EB8"/>
    <w:rsid w:val="00E41AC9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14CFE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E6A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A8D3C-7154-474F-97F6-2449035C8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ADFC-F34D-4E1F-99D8-6866A4D2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66483-6B15-437C-8F8B-AB0C1E58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4</cp:revision>
  <cp:lastPrinted>2022-04-08T11:54:00Z</cp:lastPrinted>
  <dcterms:created xsi:type="dcterms:W3CDTF">2023-08-23T08:24:00Z</dcterms:created>
  <dcterms:modified xsi:type="dcterms:W3CDTF">2023-09-04T13:28:00Z</dcterms:modified>
</cp:coreProperties>
</file>